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BF0AF" w14:textId="14971729" w:rsidR="00023D78" w:rsidRPr="00023D78" w:rsidRDefault="00F867C7" w:rsidP="00023D78">
      <w:pPr>
        <w:spacing w:after="0"/>
        <w:rPr>
          <w:rFonts w:ascii="Bradley Hand ITC" w:hAnsi="Bradley Hand ITC"/>
          <w:b/>
          <w:color w:val="C00000"/>
          <w:sz w:val="44"/>
          <w:szCs w:val="44"/>
        </w:rPr>
      </w:pPr>
      <w:bookmarkStart w:id="0" w:name="_GoBack"/>
      <w:bookmarkEnd w:id="0"/>
      <w:r>
        <w:rPr>
          <w:rFonts w:ascii="Bradley Hand ITC" w:hAnsi="Bradley Hand ITC"/>
          <w:b/>
          <w:noProof/>
          <w:color w:val="C00000"/>
          <w:sz w:val="44"/>
          <w:szCs w:val="44"/>
          <w:lang w:eastAsia="nl-NL"/>
        </w:rPr>
        <w:drawing>
          <wp:anchor distT="0" distB="0" distL="114300" distR="114300" simplePos="0" relativeHeight="251658752" behindDoc="0" locked="0" layoutInCell="1" allowOverlap="1" wp14:anchorId="703D8A6F" wp14:editId="0B063417">
            <wp:simplePos x="0" y="0"/>
            <wp:positionH relativeFrom="column">
              <wp:posOffset>5539104</wp:posOffset>
            </wp:positionH>
            <wp:positionV relativeFrom="paragraph">
              <wp:posOffset>-652145</wp:posOffset>
            </wp:positionV>
            <wp:extent cx="746125" cy="671891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 rondje ppn 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35" cy="67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D79" w:rsidRPr="00023D78">
        <w:rPr>
          <w:rFonts w:ascii="Bradley Hand ITC" w:hAnsi="Bradley Hand ITC"/>
          <w:b/>
          <w:color w:val="C00000"/>
          <w:sz w:val="44"/>
          <w:szCs w:val="44"/>
        </w:rPr>
        <w:t>Tips en Tops Workshops Onderwijsmiddag 2016</w:t>
      </w:r>
      <w:r w:rsidR="00023D78" w:rsidRPr="00023D78">
        <w:rPr>
          <w:rFonts w:ascii="Bradley Hand ITC" w:hAnsi="Bradley Hand ITC"/>
          <w:b/>
          <w:color w:val="C00000"/>
          <w:sz w:val="44"/>
          <w:szCs w:val="44"/>
        </w:rPr>
        <w:t xml:space="preserve"> </w:t>
      </w:r>
    </w:p>
    <w:p w14:paraId="167D2B4A" w14:textId="1845D769" w:rsidR="00023D78" w:rsidRPr="00023D78" w:rsidRDefault="00023D78" w:rsidP="00023D78">
      <w:pPr>
        <w:spacing w:after="0"/>
        <w:rPr>
          <w:rFonts w:ascii="Bradley Hand ITC" w:hAnsi="Bradley Hand ITC"/>
          <w:b/>
          <w:color w:val="C00000"/>
          <w:sz w:val="28"/>
          <w:szCs w:val="28"/>
        </w:rPr>
      </w:pPr>
      <w:r w:rsidRPr="00023D78">
        <w:rPr>
          <w:rFonts w:ascii="Bradley Hand ITC" w:hAnsi="Bradley Hand ITC"/>
          <w:b/>
          <w:color w:val="C00000"/>
          <w:sz w:val="28"/>
          <w:szCs w:val="28"/>
        </w:rPr>
        <w:t>Een keuze uit de pijlen die werden gericht op de spiegels</w:t>
      </w:r>
    </w:p>
    <w:p w14:paraId="5AF274D2" w14:textId="4123C706" w:rsidR="00D97D79" w:rsidRDefault="00D97D79">
      <w:pPr>
        <w:rPr>
          <w:rFonts w:ascii="Bradley Hand ITC" w:hAnsi="Bradley Hand ITC"/>
          <w:b/>
          <w:color w:val="70AD47" w:themeColor="accent6"/>
          <w:sz w:val="40"/>
          <w:szCs w:val="40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14:paraId="22788C4F" w14:textId="77777777" w:rsidR="00023D78" w:rsidRDefault="00023D78">
      <w:pPr>
        <w:rPr>
          <w:rFonts w:ascii="Bradley Hand ITC" w:hAnsi="Bradley Hand ITC"/>
          <w:b/>
          <w:color w:val="70AD47" w:themeColor="accent6"/>
          <w:sz w:val="40"/>
          <w:szCs w:val="40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14:paraId="05AB7B62" w14:textId="77777777" w:rsidR="00D97D79" w:rsidRDefault="00D97D79">
      <w:pPr>
        <w:rPr>
          <w:rFonts w:cstheme="minorHAnsi"/>
        </w:rPr>
      </w:pPr>
      <w:r w:rsidRPr="00D97D79">
        <w:rPr>
          <w:rFonts w:ascii="Bradley Hand ITC" w:hAnsi="Bradley Hand ITC"/>
          <w:b/>
          <w:color w:val="385623" w:themeColor="accent6" w:themeShade="80"/>
          <w:sz w:val="28"/>
          <w:szCs w:val="28"/>
          <w:u w:val="single"/>
        </w:rPr>
        <w:t>Uitdagend buitenspelen – Joyce van den Boogaard</w:t>
      </w:r>
      <w:r>
        <w:rPr>
          <w:rFonts w:ascii="Bradley Hand ITC" w:hAnsi="Bradley Hand ITC"/>
          <w:b/>
          <w:color w:val="70AD47" w:themeColor="accent6"/>
          <w:sz w:val="28"/>
          <w:szCs w:val="28"/>
          <w:u w:val="single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cstheme="minorHAnsi"/>
        </w:rPr>
        <w:t>‘Veel bewegen zorgt voor betere prestaties’</w:t>
      </w:r>
    </w:p>
    <w:p w14:paraId="1EA9196C" w14:textId="77777777" w:rsidR="00D97D79" w:rsidRDefault="00D97D79">
      <w:pPr>
        <w:rPr>
          <w:rFonts w:cstheme="minorHAnsi"/>
        </w:rPr>
      </w:pPr>
    </w:p>
    <w:p w14:paraId="58410E43" w14:textId="77777777" w:rsidR="009B45F5" w:rsidRPr="00D97D79" w:rsidRDefault="009B45F5" w:rsidP="009B45F5">
      <w:pPr>
        <w:spacing w:after="0"/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</w:pPr>
      <w:r w:rsidRPr="00D97D79"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  <w:t>Nieuwsbegrip – Yvet van Noordt</w:t>
      </w:r>
    </w:p>
    <w:p w14:paraId="52CD0BDC" w14:textId="77777777" w:rsidR="00D97D79" w:rsidRDefault="009B45F5" w:rsidP="009B45F5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D97D79">
        <w:rPr>
          <w:rFonts w:cstheme="minorHAnsi"/>
        </w:rPr>
        <w:t>‘Wat kan je veel met Nieuwsbegrip!’</w:t>
      </w:r>
    </w:p>
    <w:p w14:paraId="1F4CE9DD" w14:textId="77777777" w:rsidR="00D97D79" w:rsidRDefault="00D97D79">
      <w:pPr>
        <w:rPr>
          <w:rFonts w:cstheme="minorHAnsi"/>
        </w:rPr>
      </w:pPr>
      <w:r>
        <w:rPr>
          <w:rFonts w:cstheme="minorHAnsi"/>
        </w:rPr>
        <w:t>‘Ik ga ermee aan de slag’</w:t>
      </w:r>
    </w:p>
    <w:p w14:paraId="64B48F30" w14:textId="77777777" w:rsidR="00D97D79" w:rsidRDefault="00D97D79">
      <w:pPr>
        <w:rPr>
          <w:rFonts w:cstheme="minorHAnsi"/>
        </w:rPr>
      </w:pPr>
    </w:p>
    <w:p w14:paraId="7DE5FE59" w14:textId="77777777" w:rsidR="00D97D79" w:rsidRDefault="00D97D79" w:rsidP="009B45F5">
      <w:pPr>
        <w:spacing w:after="0"/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</w:pPr>
      <w:r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  <w:t xml:space="preserve">Woordenschat en het effect op het leren </w:t>
      </w:r>
      <w:r w:rsidR="009B45F5"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  <w:t>–</w:t>
      </w:r>
      <w:r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  <w:t xml:space="preserve"> AVS</w:t>
      </w:r>
    </w:p>
    <w:p w14:paraId="7B5B9B55" w14:textId="77777777" w:rsidR="009B45F5" w:rsidRDefault="009B45F5" w:rsidP="009B45F5">
      <w:pPr>
        <w:spacing w:after="0"/>
        <w:rPr>
          <w:rFonts w:cstheme="minorHAnsi"/>
        </w:rPr>
      </w:pPr>
      <w:r>
        <w:rPr>
          <w:rFonts w:cstheme="minorHAnsi"/>
        </w:rPr>
        <w:t>‘Stillezen is zo belangrijk’</w:t>
      </w:r>
    </w:p>
    <w:p w14:paraId="04630797" w14:textId="77777777" w:rsidR="009B45F5" w:rsidRDefault="009B45F5">
      <w:pPr>
        <w:rPr>
          <w:rFonts w:cstheme="minorHAnsi"/>
        </w:rPr>
      </w:pPr>
      <w:r>
        <w:rPr>
          <w:rFonts w:cstheme="minorHAnsi"/>
        </w:rPr>
        <w:t>‘Woordenschat is de basis voor alles’</w:t>
      </w:r>
    </w:p>
    <w:p w14:paraId="6626DB22" w14:textId="77777777" w:rsidR="009B45F5" w:rsidRDefault="009B45F5">
      <w:pPr>
        <w:rPr>
          <w:rFonts w:cstheme="minorHAnsi"/>
        </w:rPr>
      </w:pPr>
    </w:p>
    <w:p w14:paraId="7BB198CA" w14:textId="77777777" w:rsidR="009B45F5" w:rsidRDefault="009B45F5" w:rsidP="009B45F5">
      <w:pPr>
        <w:spacing w:after="0"/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</w:pPr>
      <w:r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  <w:t>Leren leren in de praktijk – Yvonne Kleefkens</w:t>
      </w:r>
    </w:p>
    <w:p w14:paraId="673F7DBC" w14:textId="77777777" w:rsidR="009B45F5" w:rsidRDefault="009B45F5" w:rsidP="009B45F5">
      <w:pPr>
        <w:spacing w:after="0"/>
        <w:rPr>
          <w:rFonts w:cstheme="minorHAnsi"/>
        </w:rPr>
      </w:pPr>
      <w:r>
        <w:rPr>
          <w:rFonts w:cstheme="minorHAnsi"/>
        </w:rPr>
        <w:t>‘Heel inspirerend! Ik ga vandaag op de site ermee aan de slag!’</w:t>
      </w:r>
    </w:p>
    <w:p w14:paraId="09C774FC" w14:textId="77777777" w:rsidR="009B45F5" w:rsidRDefault="009B45F5" w:rsidP="009B45F5">
      <w:pPr>
        <w:spacing w:after="0"/>
        <w:rPr>
          <w:rFonts w:cstheme="minorHAnsi"/>
        </w:rPr>
      </w:pPr>
      <w:r>
        <w:rPr>
          <w:rFonts w:cstheme="minorHAnsi"/>
        </w:rPr>
        <w:t>‘Leerling zich eigenaar laten maken van het leerproces’</w:t>
      </w:r>
    </w:p>
    <w:p w14:paraId="43DF994D" w14:textId="77777777" w:rsidR="009B45F5" w:rsidRDefault="009B45F5" w:rsidP="009B45F5">
      <w:pPr>
        <w:spacing w:after="0"/>
        <w:rPr>
          <w:rFonts w:cstheme="minorHAnsi"/>
        </w:rPr>
      </w:pPr>
    </w:p>
    <w:p w14:paraId="7408E9D3" w14:textId="77777777" w:rsidR="009B45F5" w:rsidRDefault="009B45F5" w:rsidP="009B45F5">
      <w:pPr>
        <w:spacing w:after="0"/>
        <w:rPr>
          <w:rFonts w:cstheme="minorHAnsi"/>
        </w:rPr>
      </w:pPr>
    </w:p>
    <w:p w14:paraId="14FF2F1A" w14:textId="77777777" w:rsidR="009B45F5" w:rsidRDefault="009B45F5" w:rsidP="009B45F5">
      <w:pPr>
        <w:spacing w:after="0"/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</w:pPr>
      <w:r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  <w:t>Ouderbetrokkenheid 3.0 – Hens Galjaard</w:t>
      </w:r>
    </w:p>
    <w:p w14:paraId="1CBEBE35" w14:textId="77777777" w:rsidR="009B45F5" w:rsidRDefault="009B45F5" w:rsidP="009B45F5">
      <w:pPr>
        <w:spacing w:after="0"/>
        <w:rPr>
          <w:rFonts w:cstheme="minorHAnsi"/>
        </w:rPr>
      </w:pPr>
      <w:r>
        <w:rPr>
          <w:rFonts w:cstheme="minorHAnsi"/>
        </w:rPr>
        <w:t>‘Positieve manier van denken’</w:t>
      </w:r>
    </w:p>
    <w:p w14:paraId="5C93AED9" w14:textId="77777777" w:rsidR="009B45F5" w:rsidRDefault="009B45F5" w:rsidP="009B45F5">
      <w:pPr>
        <w:spacing w:after="0"/>
        <w:rPr>
          <w:rFonts w:cstheme="minorHAnsi"/>
        </w:rPr>
      </w:pPr>
      <w:r>
        <w:rPr>
          <w:rFonts w:cstheme="minorHAnsi"/>
        </w:rPr>
        <w:t>‘Opnieuw bewust geworden hoe belangrijk de ouderbetrokkenheid is’</w:t>
      </w:r>
    </w:p>
    <w:p w14:paraId="28A7B27F" w14:textId="77777777" w:rsidR="009B45F5" w:rsidRDefault="009B45F5" w:rsidP="009B45F5">
      <w:pPr>
        <w:spacing w:after="0"/>
        <w:rPr>
          <w:rFonts w:cstheme="minorHAnsi"/>
        </w:rPr>
      </w:pPr>
    </w:p>
    <w:p w14:paraId="447768AF" w14:textId="77777777" w:rsidR="009B45F5" w:rsidRPr="009B45F5" w:rsidRDefault="009B45F5" w:rsidP="009B45F5">
      <w:pPr>
        <w:spacing w:after="0"/>
        <w:rPr>
          <w:rFonts w:cstheme="minorHAnsi"/>
        </w:rPr>
      </w:pPr>
    </w:p>
    <w:p w14:paraId="33F7E468" w14:textId="77777777" w:rsidR="009B45F5" w:rsidRDefault="009B45F5" w:rsidP="009B45F5">
      <w:pPr>
        <w:spacing w:after="0"/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</w:pPr>
      <w:r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  <w:t>21</w:t>
      </w:r>
      <w:r w:rsidRPr="009B45F5"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  <w:vertAlign w:val="superscript"/>
        </w:rPr>
        <w:t>e</w:t>
      </w:r>
      <w:r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  <w:t xml:space="preserve"> eeuwse vaardigheden in jouw onderwijs? – Henk van de Hoef</w:t>
      </w:r>
    </w:p>
    <w:p w14:paraId="480233A9" w14:textId="77777777" w:rsidR="009B45F5" w:rsidRDefault="004532F4" w:rsidP="009B45F5">
      <w:pPr>
        <w:spacing w:after="0"/>
        <w:rPr>
          <w:rFonts w:cstheme="minorHAnsi"/>
        </w:rPr>
      </w:pPr>
      <w:r>
        <w:rPr>
          <w:rFonts w:cstheme="minorHAnsi"/>
        </w:rPr>
        <w:t>‘Het begrip computational thinking is voor mij duidelijk geworden’</w:t>
      </w:r>
    </w:p>
    <w:p w14:paraId="1784B7FC" w14:textId="77777777" w:rsidR="004532F4" w:rsidRDefault="004532F4" w:rsidP="009B45F5">
      <w:pPr>
        <w:spacing w:after="0"/>
        <w:rPr>
          <w:rFonts w:cstheme="minorHAnsi"/>
        </w:rPr>
      </w:pPr>
      <w:r>
        <w:rPr>
          <w:rFonts w:cstheme="minorHAnsi"/>
        </w:rPr>
        <w:t>‘Helder verhaal, sloot erg goed aan op inbreng van de groep. Veel kennis. ‘</w:t>
      </w:r>
    </w:p>
    <w:p w14:paraId="5992ED00" w14:textId="77777777" w:rsidR="004532F4" w:rsidRDefault="004532F4" w:rsidP="009B45F5">
      <w:pPr>
        <w:spacing w:after="0"/>
        <w:rPr>
          <w:rFonts w:cstheme="minorHAnsi"/>
        </w:rPr>
      </w:pPr>
    </w:p>
    <w:p w14:paraId="749B0A83" w14:textId="77777777" w:rsidR="004532F4" w:rsidRPr="004532F4" w:rsidRDefault="004532F4" w:rsidP="009B45F5">
      <w:pPr>
        <w:spacing w:after="0"/>
        <w:rPr>
          <w:rFonts w:cstheme="minorHAnsi"/>
        </w:rPr>
      </w:pPr>
    </w:p>
    <w:p w14:paraId="7AEF4AE8" w14:textId="77777777" w:rsidR="004532F4" w:rsidRDefault="004532F4" w:rsidP="004532F4">
      <w:pPr>
        <w:spacing w:after="0"/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</w:pPr>
      <w:r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  <w:t>Opbrengsgericht leiderschap – Henk Derks</w:t>
      </w:r>
    </w:p>
    <w:p w14:paraId="4919A848" w14:textId="77777777" w:rsidR="004532F4" w:rsidRDefault="004532F4" w:rsidP="004532F4">
      <w:pPr>
        <w:spacing w:after="0"/>
        <w:rPr>
          <w:rFonts w:cstheme="minorHAnsi"/>
        </w:rPr>
      </w:pPr>
      <w:r>
        <w:rPr>
          <w:rFonts w:cstheme="minorHAnsi"/>
        </w:rPr>
        <w:t>‘De ontwikkelingen gaan zo snel: belangrijk voor het onderwijs om daar in mee te veranderen.’</w:t>
      </w:r>
    </w:p>
    <w:p w14:paraId="7859B1B0" w14:textId="77777777" w:rsidR="004532F4" w:rsidRDefault="004532F4" w:rsidP="004532F4">
      <w:pPr>
        <w:spacing w:after="0"/>
        <w:rPr>
          <w:rFonts w:cstheme="minorHAnsi"/>
        </w:rPr>
      </w:pPr>
      <w:r>
        <w:rPr>
          <w:rFonts w:cstheme="minorHAnsi"/>
        </w:rPr>
        <w:t>‘Groepsdoorbrekend’</w:t>
      </w:r>
    </w:p>
    <w:p w14:paraId="24029D7B" w14:textId="77777777" w:rsidR="004532F4" w:rsidRDefault="004532F4" w:rsidP="004532F4">
      <w:pPr>
        <w:spacing w:after="0"/>
        <w:rPr>
          <w:rFonts w:cstheme="minorHAnsi"/>
        </w:rPr>
      </w:pPr>
      <w:r>
        <w:rPr>
          <w:rFonts w:cstheme="minorHAnsi"/>
        </w:rPr>
        <w:t>‘Buiten kaders denken’</w:t>
      </w:r>
    </w:p>
    <w:p w14:paraId="13604AEF" w14:textId="77777777" w:rsidR="004532F4" w:rsidRDefault="004532F4" w:rsidP="004532F4">
      <w:pPr>
        <w:spacing w:after="0"/>
        <w:rPr>
          <w:rFonts w:cstheme="minorHAnsi"/>
        </w:rPr>
      </w:pPr>
      <w:r>
        <w:rPr>
          <w:rFonts w:cstheme="minorHAnsi"/>
        </w:rPr>
        <w:t>‘We moeten aan de bak. Yes! Goed verhaal, goed verwoord.’</w:t>
      </w:r>
    </w:p>
    <w:p w14:paraId="70275EBB" w14:textId="77777777" w:rsidR="004532F4" w:rsidRDefault="004532F4" w:rsidP="004532F4">
      <w:pPr>
        <w:spacing w:after="0"/>
        <w:rPr>
          <w:rFonts w:cstheme="minorHAnsi"/>
        </w:rPr>
      </w:pPr>
    </w:p>
    <w:p w14:paraId="316A16B5" w14:textId="77777777" w:rsidR="004532F4" w:rsidRPr="004532F4" w:rsidRDefault="004532F4" w:rsidP="004532F4">
      <w:pPr>
        <w:spacing w:after="0"/>
        <w:rPr>
          <w:rFonts w:cstheme="minorHAnsi"/>
        </w:rPr>
      </w:pPr>
    </w:p>
    <w:p w14:paraId="4DF5F173" w14:textId="77777777" w:rsidR="004532F4" w:rsidRDefault="004532F4" w:rsidP="004532F4">
      <w:pPr>
        <w:spacing w:after="0"/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</w:pPr>
      <w:r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  <w:lastRenderedPageBreak/>
        <w:t>‘Goed zo!</w:t>
      </w:r>
      <w:r w:rsidR="00023D78"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  <w:t>’</w:t>
      </w:r>
      <w:r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  <w:t xml:space="preserve"> Is onvoldoende: over feedback waar leerlingen iets mee kunnen </w:t>
      </w:r>
      <w:r w:rsidR="00023D78"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  <w:t>–</w:t>
      </w:r>
      <w:r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  <w:t xml:space="preserve"> </w:t>
      </w:r>
      <w:r w:rsidR="00023D78"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  <w:t>Lia Voerman</w:t>
      </w:r>
    </w:p>
    <w:p w14:paraId="6F3C9E7E" w14:textId="77777777" w:rsidR="00023D78" w:rsidRDefault="00023D78" w:rsidP="004532F4">
      <w:pPr>
        <w:spacing w:after="0"/>
        <w:rPr>
          <w:rFonts w:cstheme="minorHAnsi"/>
        </w:rPr>
      </w:pPr>
      <w:r>
        <w:rPr>
          <w:rFonts w:cstheme="minorHAnsi"/>
        </w:rPr>
        <w:t>‘Feedback op strategie is effectiever dan feedback op inhoud’</w:t>
      </w:r>
    </w:p>
    <w:p w14:paraId="03994030" w14:textId="77777777" w:rsidR="00023D78" w:rsidRDefault="00023D78" w:rsidP="004532F4">
      <w:pPr>
        <w:spacing w:after="0"/>
        <w:rPr>
          <w:rFonts w:cstheme="minorHAnsi"/>
        </w:rPr>
      </w:pPr>
      <w:r>
        <w:rPr>
          <w:rFonts w:cstheme="minorHAnsi"/>
        </w:rPr>
        <w:t>‘Blijf kijken naar de persoon’</w:t>
      </w:r>
    </w:p>
    <w:p w14:paraId="29402105" w14:textId="77777777" w:rsidR="00023D78" w:rsidRDefault="00023D78" w:rsidP="004532F4">
      <w:pPr>
        <w:spacing w:after="0"/>
        <w:rPr>
          <w:rFonts w:cstheme="minorHAnsi"/>
        </w:rPr>
      </w:pPr>
      <w:r>
        <w:rPr>
          <w:rFonts w:cstheme="minorHAnsi"/>
        </w:rPr>
        <w:t>‘Effectieve feedback is specifiek en moet progressie aangeven’</w:t>
      </w:r>
    </w:p>
    <w:p w14:paraId="1C3F7D68" w14:textId="77777777" w:rsidR="00023D78" w:rsidRDefault="00023D78" w:rsidP="004532F4">
      <w:pPr>
        <w:spacing w:after="0"/>
        <w:rPr>
          <w:rFonts w:cstheme="minorHAnsi"/>
        </w:rPr>
      </w:pPr>
      <w:r>
        <w:rPr>
          <w:rFonts w:cstheme="minorHAnsi"/>
        </w:rPr>
        <w:t>‘Goed zo’ is af en toe prima, maar feedback op het proces is veel effectiever.’</w:t>
      </w:r>
    </w:p>
    <w:p w14:paraId="4ABAC849" w14:textId="77777777" w:rsidR="00023D78" w:rsidRDefault="00023D78" w:rsidP="004532F4">
      <w:pPr>
        <w:spacing w:after="0"/>
        <w:rPr>
          <w:rFonts w:cstheme="minorHAnsi"/>
        </w:rPr>
      </w:pPr>
    </w:p>
    <w:p w14:paraId="7AA279A0" w14:textId="77777777" w:rsidR="00023D78" w:rsidRDefault="00023D78" w:rsidP="004532F4">
      <w:pPr>
        <w:spacing w:after="0"/>
        <w:rPr>
          <w:rFonts w:cstheme="minorHAnsi"/>
        </w:rPr>
      </w:pPr>
    </w:p>
    <w:p w14:paraId="4620D88D" w14:textId="77777777" w:rsidR="00023D78" w:rsidRDefault="00023D78" w:rsidP="00023D78">
      <w:pPr>
        <w:spacing w:after="0"/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</w:pPr>
      <w:r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  <w:t>Positieve groepsvorming in de klas – Maya Bakker</w:t>
      </w:r>
    </w:p>
    <w:p w14:paraId="75206293" w14:textId="77777777" w:rsidR="00023D78" w:rsidRDefault="00023D78" w:rsidP="00023D78">
      <w:pPr>
        <w:spacing w:after="0"/>
        <w:rPr>
          <w:rFonts w:cstheme="minorHAnsi"/>
        </w:rPr>
      </w:pPr>
      <w:r>
        <w:rPr>
          <w:rFonts w:cstheme="minorHAnsi"/>
        </w:rPr>
        <w:t xml:space="preserve"> ‘2 momenten om groepsvorming te beïnvloeden: start schooljaar + start kalenderjaar’</w:t>
      </w:r>
    </w:p>
    <w:p w14:paraId="76729AEF" w14:textId="77777777" w:rsidR="00023D78" w:rsidRDefault="00023D78" w:rsidP="00023D78">
      <w:pPr>
        <w:spacing w:after="0"/>
        <w:rPr>
          <w:rFonts w:cstheme="minorHAnsi"/>
        </w:rPr>
      </w:pPr>
      <w:r>
        <w:rPr>
          <w:rFonts w:cstheme="minorHAnsi"/>
        </w:rPr>
        <w:t>‘Het belang van een positief klimaat, het is de basis voor leren’</w:t>
      </w:r>
    </w:p>
    <w:p w14:paraId="25AEB4A4" w14:textId="77777777" w:rsidR="00023D78" w:rsidRDefault="00023D78" w:rsidP="00023D78">
      <w:pPr>
        <w:spacing w:after="0"/>
        <w:rPr>
          <w:rFonts w:cstheme="minorHAnsi"/>
        </w:rPr>
      </w:pPr>
      <w:r>
        <w:rPr>
          <w:rFonts w:cstheme="minorHAnsi"/>
        </w:rPr>
        <w:t>‘Leerkracht speelt een grote rol in het groepsproces’</w:t>
      </w:r>
    </w:p>
    <w:p w14:paraId="3A54CE1F" w14:textId="77777777" w:rsidR="00023D78" w:rsidRDefault="00023D78" w:rsidP="00023D78">
      <w:pPr>
        <w:spacing w:after="0"/>
        <w:rPr>
          <w:rFonts w:cstheme="minorHAnsi"/>
        </w:rPr>
      </w:pPr>
    </w:p>
    <w:p w14:paraId="62744D3B" w14:textId="77777777" w:rsidR="00023D78" w:rsidRDefault="00023D78" w:rsidP="00023D78">
      <w:pPr>
        <w:spacing w:after="0"/>
        <w:rPr>
          <w:rFonts w:cstheme="minorHAnsi"/>
        </w:rPr>
      </w:pPr>
    </w:p>
    <w:p w14:paraId="22C3C5B3" w14:textId="77777777" w:rsidR="00023D78" w:rsidRDefault="00023D78" w:rsidP="00023D78">
      <w:pPr>
        <w:spacing w:after="0"/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</w:pPr>
      <w:r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  <w:t>Expliciete directe instructie: tips &amp; technieken voor een goede les – Marcel Schmeier</w:t>
      </w:r>
    </w:p>
    <w:p w14:paraId="4B8421C5" w14:textId="77777777" w:rsidR="00023D78" w:rsidRDefault="00023D78" w:rsidP="00023D78">
      <w:pPr>
        <w:spacing w:after="0"/>
        <w:rPr>
          <w:rFonts w:cstheme="minorHAnsi"/>
        </w:rPr>
      </w:pPr>
      <w:r>
        <w:rPr>
          <w:rFonts w:cstheme="minorHAnsi"/>
        </w:rPr>
        <w:t>‘Het belangrijkste voor kinderen om te leren is dat ze weten wat ze gaan leren’</w:t>
      </w:r>
    </w:p>
    <w:p w14:paraId="27104FD2" w14:textId="77777777" w:rsidR="00023D78" w:rsidRDefault="00023D78" w:rsidP="00023D78">
      <w:pPr>
        <w:spacing w:after="0"/>
        <w:rPr>
          <w:rFonts w:cstheme="minorHAnsi"/>
        </w:rPr>
      </w:pPr>
      <w:r>
        <w:rPr>
          <w:rFonts w:cstheme="minorHAnsi"/>
        </w:rPr>
        <w:t>‘Ik ga wisbordjes gebruiken!’</w:t>
      </w:r>
    </w:p>
    <w:p w14:paraId="37D2E92E" w14:textId="77777777" w:rsidR="00023D78" w:rsidRDefault="00023D78" w:rsidP="00023D78">
      <w:pPr>
        <w:spacing w:after="0"/>
        <w:rPr>
          <w:rFonts w:cstheme="minorHAnsi"/>
        </w:rPr>
      </w:pPr>
      <w:r>
        <w:rPr>
          <w:rFonts w:cstheme="minorHAnsi"/>
        </w:rPr>
        <w:t>‘Uitleg geven, dan pas beurten, vragen stellen’</w:t>
      </w:r>
    </w:p>
    <w:p w14:paraId="314864E6" w14:textId="77777777" w:rsidR="00023D78" w:rsidRDefault="00023D78" w:rsidP="00023D78">
      <w:pPr>
        <w:spacing w:after="0"/>
        <w:rPr>
          <w:rFonts w:cstheme="minorHAnsi"/>
        </w:rPr>
      </w:pPr>
    </w:p>
    <w:p w14:paraId="4153A791" w14:textId="77777777" w:rsidR="00023D78" w:rsidRDefault="00023D78" w:rsidP="00023D78">
      <w:pPr>
        <w:spacing w:after="0"/>
        <w:rPr>
          <w:rFonts w:cstheme="minorHAnsi"/>
        </w:rPr>
      </w:pPr>
    </w:p>
    <w:p w14:paraId="4150419D" w14:textId="77777777" w:rsidR="00023D78" w:rsidRDefault="00023D78" w:rsidP="00023D78">
      <w:pPr>
        <w:spacing w:after="0"/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</w:pPr>
      <w:r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  <w:t>Inspelen op verschillen tussen leerlingen – Menno van Hasselt</w:t>
      </w:r>
    </w:p>
    <w:p w14:paraId="3EF1F901" w14:textId="77777777" w:rsidR="00023D78" w:rsidRDefault="00023D78" w:rsidP="00023D78">
      <w:pPr>
        <w:spacing w:after="0"/>
        <w:rPr>
          <w:rFonts w:cstheme="minorHAnsi"/>
        </w:rPr>
      </w:pPr>
      <w:r>
        <w:rPr>
          <w:rFonts w:cstheme="minorHAnsi"/>
        </w:rPr>
        <w:t>‘Onderwijs passend maken bij de opbrengsten en ambities’</w:t>
      </w:r>
    </w:p>
    <w:p w14:paraId="63EA7473" w14:textId="77777777" w:rsidR="00023D78" w:rsidRDefault="00023D78" w:rsidP="00023D78">
      <w:pPr>
        <w:spacing w:after="0"/>
        <w:rPr>
          <w:rFonts w:cstheme="minorHAnsi"/>
        </w:rPr>
      </w:pPr>
      <w:r>
        <w:rPr>
          <w:rFonts w:cstheme="minorHAnsi"/>
        </w:rPr>
        <w:t>‘Geen onderwijs zonder hoge verwachtingen’</w:t>
      </w:r>
    </w:p>
    <w:p w14:paraId="34825EDB" w14:textId="77777777" w:rsidR="00023D78" w:rsidRDefault="00023D78" w:rsidP="00023D78">
      <w:pPr>
        <w:spacing w:after="0"/>
        <w:rPr>
          <w:rFonts w:cstheme="minorHAnsi"/>
        </w:rPr>
      </w:pPr>
    </w:p>
    <w:p w14:paraId="087DD3CD" w14:textId="77777777" w:rsidR="00023D78" w:rsidRDefault="00023D78" w:rsidP="00023D78">
      <w:pPr>
        <w:spacing w:after="0"/>
        <w:rPr>
          <w:rFonts w:cstheme="minorHAnsi"/>
        </w:rPr>
      </w:pPr>
    </w:p>
    <w:p w14:paraId="5E330396" w14:textId="77777777" w:rsidR="00023D78" w:rsidRDefault="00023D78" w:rsidP="00023D78">
      <w:pPr>
        <w:spacing w:after="0"/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</w:pPr>
      <w:r>
        <w:rPr>
          <w:rFonts w:ascii="Bradley Hand ITC" w:hAnsi="Bradley Hand ITC" w:cstheme="minorHAnsi"/>
          <w:b/>
          <w:color w:val="385623" w:themeColor="accent6" w:themeShade="80"/>
          <w:sz w:val="28"/>
          <w:szCs w:val="28"/>
          <w:u w:val="single"/>
        </w:rPr>
        <w:t>‘Slow down brother’- werkdruk verlagen – Annemieke van Grol</w:t>
      </w:r>
    </w:p>
    <w:p w14:paraId="661D8076" w14:textId="77777777" w:rsidR="00023D78" w:rsidRDefault="00023D78" w:rsidP="00023D78">
      <w:pPr>
        <w:spacing w:after="0"/>
        <w:rPr>
          <w:rFonts w:cstheme="minorHAnsi"/>
        </w:rPr>
      </w:pPr>
      <w:r>
        <w:rPr>
          <w:rFonts w:cstheme="minorHAnsi"/>
        </w:rPr>
        <w:t>‘Bewuste keuzes maken’</w:t>
      </w:r>
    </w:p>
    <w:p w14:paraId="14D60915" w14:textId="77777777" w:rsidR="00023D78" w:rsidRDefault="00023D78" w:rsidP="00023D78">
      <w:pPr>
        <w:spacing w:after="0"/>
        <w:rPr>
          <w:rFonts w:cstheme="minorHAnsi"/>
        </w:rPr>
      </w:pPr>
      <w:r>
        <w:rPr>
          <w:rFonts w:cstheme="minorHAnsi"/>
        </w:rPr>
        <w:t>‘De 16 manieren om tijd te besparen’</w:t>
      </w:r>
    </w:p>
    <w:p w14:paraId="722738C7" w14:textId="77777777" w:rsidR="00023D78" w:rsidRPr="00023D78" w:rsidRDefault="00023D78" w:rsidP="00023D78">
      <w:pPr>
        <w:spacing w:after="0"/>
        <w:rPr>
          <w:rFonts w:cstheme="minorHAnsi"/>
        </w:rPr>
      </w:pPr>
      <w:r>
        <w:rPr>
          <w:rFonts w:cstheme="minorHAnsi"/>
        </w:rPr>
        <w:t>‘Werkdruk is een keuze’</w:t>
      </w:r>
    </w:p>
    <w:p w14:paraId="65BA1570" w14:textId="77777777" w:rsidR="00023D78" w:rsidRPr="00023D78" w:rsidRDefault="00023D78" w:rsidP="00023D78">
      <w:pPr>
        <w:spacing w:after="0"/>
        <w:rPr>
          <w:rFonts w:cstheme="minorHAnsi"/>
        </w:rPr>
      </w:pPr>
    </w:p>
    <w:p w14:paraId="2ED5604D" w14:textId="77777777" w:rsidR="00023D78" w:rsidRPr="00023D78" w:rsidRDefault="00023D78" w:rsidP="00023D78">
      <w:pPr>
        <w:spacing w:after="0"/>
        <w:rPr>
          <w:rFonts w:cstheme="minorHAnsi"/>
        </w:rPr>
      </w:pPr>
    </w:p>
    <w:p w14:paraId="4ADC320E" w14:textId="77777777" w:rsidR="00023D78" w:rsidRPr="00023D78" w:rsidRDefault="00023D78" w:rsidP="00023D78">
      <w:pPr>
        <w:spacing w:after="0"/>
        <w:rPr>
          <w:rFonts w:cstheme="minorHAnsi"/>
        </w:rPr>
      </w:pPr>
    </w:p>
    <w:p w14:paraId="7C7912E2" w14:textId="77777777" w:rsidR="00023D78" w:rsidRPr="00023D78" w:rsidRDefault="00023D78" w:rsidP="004532F4">
      <w:pPr>
        <w:spacing w:after="0"/>
        <w:rPr>
          <w:rFonts w:cstheme="minorHAnsi"/>
        </w:rPr>
      </w:pPr>
    </w:p>
    <w:p w14:paraId="4BD65319" w14:textId="77777777" w:rsidR="009B45F5" w:rsidRPr="009B45F5" w:rsidRDefault="009B45F5" w:rsidP="009B45F5">
      <w:pPr>
        <w:spacing w:after="0"/>
        <w:rPr>
          <w:rFonts w:cstheme="minorHAnsi"/>
          <w:b/>
        </w:rPr>
      </w:pPr>
    </w:p>
    <w:p w14:paraId="783ECE9B" w14:textId="77777777" w:rsidR="009B45F5" w:rsidRDefault="009B45F5">
      <w:pPr>
        <w:rPr>
          <w:rFonts w:cstheme="minorHAnsi"/>
        </w:rPr>
      </w:pPr>
    </w:p>
    <w:p w14:paraId="1C88F910" w14:textId="77777777" w:rsidR="009B45F5" w:rsidRDefault="009B45F5">
      <w:pPr>
        <w:rPr>
          <w:rFonts w:cstheme="minorHAnsi"/>
        </w:rPr>
      </w:pPr>
    </w:p>
    <w:p w14:paraId="4DC78BE4" w14:textId="77777777" w:rsidR="009B45F5" w:rsidRPr="009B45F5" w:rsidRDefault="009B45F5">
      <w:pPr>
        <w:rPr>
          <w:rFonts w:ascii="Bradley Hand ITC" w:hAnsi="Bradley Hand ITC" w:cstheme="minorHAnsi"/>
          <w:b/>
          <w:color w:val="70AD47" w:themeColor="accent6"/>
          <w:sz w:val="28"/>
          <w:szCs w:val="28"/>
          <w:u w:val="single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</w:p>
    <w:p w14:paraId="7B4E82B1" w14:textId="77777777" w:rsidR="00D97D79" w:rsidRDefault="00D97D79">
      <w:pPr>
        <w:rPr>
          <w:rFonts w:cstheme="minorHAnsi"/>
        </w:rPr>
      </w:pPr>
    </w:p>
    <w:p w14:paraId="0DF8AA7A" w14:textId="77777777" w:rsidR="00D97D79" w:rsidRDefault="00B80D1D" w:rsidP="00B80D1D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</w:rPr>
        <w:t xml:space="preserve">                                                                                                                      </w:t>
      </w:r>
      <w:r>
        <w:rPr>
          <w:rFonts w:cstheme="minorHAnsi"/>
          <w:i/>
          <w:sz w:val="18"/>
          <w:szCs w:val="18"/>
        </w:rPr>
        <w:t>Hanneke Bart de Jonge en Walda Goldbach</w:t>
      </w:r>
    </w:p>
    <w:p w14:paraId="17B0CCA2" w14:textId="77777777" w:rsidR="00B80D1D" w:rsidRDefault="00B80D1D" w:rsidP="00B80D1D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Projectgroep Onderwijsdag</w:t>
      </w:r>
    </w:p>
    <w:p w14:paraId="74A7332C" w14:textId="77777777" w:rsidR="00B80D1D" w:rsidRPr="00B80D1D" w:rsidRDefault="00B80D1D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November 2016</w:t>
      </w:r>
    </w:p>
    <w:sectPr w:rsidR="00B80D1D" w:rsidRPr="00B8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79"/>
    <w:rsid w:val="00023D78"/>
    <w:rsid w:val="002849D6"/>
    <w:rsid w:val="004532F4"/>
    <w:rsid w:val="009B45F5"/>
    <w:rsid w:val="00B80D1D"/>
    <w:rsid w:val="00C364FE"/>
    <w:rsid w:val="00D97D79"/>
    <w:rsid w:val="00F8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6538"/>
  <w15:chartTrackingRefBased/>
  <w15:docId w15:val="{BB6B77B0-EF6F-4CEB-9519-2AC711D1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373E51CC72D44A1C35746A730367F" ma:contentTypeVersion="3" ma:contentTypeDescription="Een nieuw document maken." ma:contentTypeScope="" ma:versionID="c91acecb81cfda4240c33f64e8f5cd04">
  <xsd:schema xmlns:xsd="http://www.w3.org/2001/XMLSchema" xmlns:xs="http://www.w3.org/2001/XMLSchema" xmlns:p="http://schemas.microsoft.com/office/2006/metadata/properties" xmlns:ns2="eece9c13-0220-40c3-8966-a2bfce4677d7" targetNamespace="http://schemas.microsoft.com/office/2006/metadata/properties" ma:root="true" ma:fieldsID="2187d91cf6a6dc46cd1b75890a0f97c8" ns2:_="">
    <xsd:import namespace="eece9c13-0220-40c3-8966-a2bfce4677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e9c13-0220-40c3-8966-a2bfce46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6F7BA-9602-4B81-9052-C9873E808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e9c13-0220-40c3-8966-a2bfce467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8D1CE-43A0-41EB-A7B7-6B6ECDED0C79}">
  <ds:schemaRefs>
    <ds:schemaRef ds:uri="http://schemas.microsoft.com/office/2006/metadata/properties"/>
    <ds:schemaRef ds:uri="eece9c13-0220-40c3-8966-a2bfce4677d7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0301810-FA20-4BF7-984C-5501F197AC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Walda Goldbach</dc:creator>
  <cp:keywords/>
  <dc:description/>
  <cp:lastModifiedBy>Walda Goldbach</cp:lastModifiedBy>
  <cp:revision>2</cp:revision>
  <dcterms:created xsi:type="dcterms:W3CDTF">2017-01-12T14:27:00Z</dcterms:created>
  <dcterms:modified xsi:type="dcterms:W3CDTF">2017-01-12T14:27:00Z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0x0101009D3373E51CC72D44A1C35746A730367F</vt:lpwstr>
  </property>
</Properties>
</file>